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7DBD295"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2E170C">
        <w:rPr>
          <w:rFonts w:ascii="Arial" w:hAnsi="Arial" w:cs="Arial"/>
          <w:b/>
          <w:bCs/>
          <w:sz w:val="22"/>
          <w:szCs w:val="22"/>
        </w:rPr>
        <w:t>5</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696C3D">
        <w:rPr>
          <w:rFonts w:ascii="Arial" w:hAnsi="Arial" w:cs="Arial"/>
          <w:b/>
          <w:bCs/>
          <w:sz w:val="22"/>
          <w:szCs w:val="22"/>
        </w:rPr>
        <w:t>0</w:t>
      </w:r>
      <w:r w:rsidR="00374A37">
        <w:rPr>
          <w:rFonts w:ascii="Arial" w:hAnsi="Arial" w:cs="Arial"/>
          <w:b/>
          <w:bCs/>
          <w:sz w:val="22"/>
          <w:szCs w:val="22"/>
        </w:rPr>
        <w:t>5349</w:t>
      </w:r>
    </w:p>
    <w:p w14:paraId="11D9F0EF" w14:textId="2E4EC6A0" w:rsidR="00C8121F" w:rsidRPr="00B56FFA" w:rsidRDefault="002E170C"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Pr>
          <w:rFonts w:cs="Arial"/>
          <w:i w:val="0"/>
          <w:sz w:val="22"/>
          <w:szCs w:val="24"/>
        </w:rPr>
        <w:t>May</w:t>
      </w:r>
      <w:r w:rsidR="006B17F5">
        <w:rPr>
          <w:rFonts w:cs="Arial"/>
          <w:i w:val="0"/>
          <w:sz w:val="22"/>
          <w:szCs w:val="24"/>
        </w:rPr>
        <w:t xml:space="preserve"> </w:t>
      </w:r>
      <w:r>
        <w:rPr>
          <w:rFonts w:cs="Arial"/>
          <w:i w:val="0"/>
          <w:sz w:val="22"/>
          <w:szCs w:val="24"/>
        </w:rPr>
        <w:t>19</w:t>
      </w:r>
      <w:r w:rsidR="006B17F5">
        <w:rPr>
          <w:rFonts w:cs="Arial"/>
          <w:i w:val="0"/>
          <w:sz w:val="22"/>
          <w:szCs w:val="24"/>
        </w:rPr>
        <w:t>-</w:t>
      </w:r>
      <w:r>
        <w:rPr>
          <w:rFonts w:cs="Arial"/>
          <w:i w:val="0"/>
          <w:sz w:val="22"/>
          <w:szCs w:val="24"/>
        </w:rPr>
        <w:t>23</w:t>
      </w:r>
      <w:r w:rsidR="00E87CB1" w:rsidRPr="00B56FFA">
        <w:rPr>
          <w:rFonts w:cs="Arial"/>
          <w:i w:val="0"/>
          <w:sz w:val="22"/>
          <w:szCs w:val="24"/>
        </w:rPr>
        <w:t>, 202</w:t>
      </w:r>
      <w:r w:rsidR="003530CF">
        <w:rPr>
          <w:rFonts w:cs="Arial"/>
          <w:i w:val="0"/>
          <w:sz w:val="22"/>
          <w:szCs w:val="24"/>
        </w:rPr>
        <w:t>5</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756D28A1"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329E7">
        <w:rPr>
          <w:rFonts w:ascii="Arial" w:hAnsi="Arial"/>
          <w:sz w:val="22"/>
        </w:rPr>
        <w:t>4.5.1</w:t>
      </w:r>
      <w:r w:rsidR="00A61FDC">
        <w:rPr>
          <w:rFonts w:ascii="Arial" w:hAnsi="Arial"/>
          <w:sz w:val="22"/>
        </w:rPr>
        <w:tab/>
      </w:r>
      <w:r w:rsidR="00A61FDC">
        <w:rPr>
          <w:rFonts w:ascii="Arial" w:hAnsi="Arial"/>
          <w:sz w:val="22"/>
        </w:rPr>
        <w:tab/>
      </w:r>
      <w:r w:rsidR="000329E7">
        <w:rPr>
          <w:rFonts w:ascii="Arial" w:hAnsi="Arial"/>
          <w:sz w:val="22"/>
        </w:rPr>
        <w:t xml:space="preserve">Up to Rel-16 maintenance </w:t>
      </w:r>
      <w:r w:rsidR="00425D5A">
        <w:rPr>
          <w:rFonts w:ascii="Arial" w:hAnsi="Arial"/>
          <w:sz w:val="22"/>
        </w:rPr>
        <w:t xml:space="preserve"> </w:t>
      </w:r>
    </w:p>
    <w:p w14:paraId="41F022EE" w14:textId="256E1C0D"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0717B1">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B32F8BF" w:rsidR="00A63D06" w:rsidRPr="00C1690D" w:rsidRDefault="0045039C" w:rsidP="00A63D06">
      <w:pPr>
        <w:ind w:left="1988" w:hanging="1988"/>
        <w:rPr>
          <w:rFonts w:ascii="Arial" w:hAnsi="Arial"/>
          <w:sz w:val="22"/>
          <w:szCs w:val="22"/>
        </w:rPr>
      </w:pPr>
      <w:r w:rsidRPr="00B56FFA">
        <w:rPr>
          <w:rFonts w:ascii="Arial" w:hAnsi="Arial"/>
          <w:b/>
          <w:sz w:val="22"/>
        </w:rPr>
        <w:t>Title:</w:t>
      </w:r>
      <w:r w:rsidR="000717B1">
        <w:rPr>
          <w:rFonts w:ascii="Arial" w:hAnsi="Arial"/>
          <w:sz w:val="22"/>
        </w:rPr>
        <w:tab/>
      </w:r>
      <w:r w:rsidR="00905F02">
        <w:rPr>
          <w:sz w:val="24"/>
          <w:szCs w:val="24"/>
        </w:rPr>
        <w:t>(</w:t>
      </w:r>
      <w:r w:rsidR="00905F02" w:rsidRPr="00BF0D01">
        <w:rPr>
          <w:sz w:val="24"/>
          <w:szCs w:val="24"/>
        </w:rPr>
        <w:t>NR_RRM_enh-Core)</w:t>
      </w:r>
      <w:r w:rsidR="00905F02">
        <w:rPr>
          <w:sz w:val="24"/>
          <w:szCs w:val="24"/>
        </w:rPr>
        <w:t xml:space="preserve"> On </w:t>
      </w:r>
      <w:r w:rsidR="007A7ACC">
        <w:rPr>
          <w:rFonts w:ascii="Arial" w:hAnsi="Arial"/>
          <w:sz w:val="22"/>
        </w:rPr>
        <w:t>Timing Adjustment for Carrier Aggregation and Dual Connectivity</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00283156" w:rsidR="00154AB1" w:rsidRDefault="00F60547" w:rsidP="00355E2B">
      <w:r>
        <w:t xml:space="preserve">In RAN4 #114 several discussion papers and CRs </w:t>
      </w:r>
      <w:r w:rsidR="008727AA">
        <w:t>were</w:t>
      </w:r>
      <w:r>
        <w:t xml:space="preserve"> </w:t>
      </w:r>
      <w:r w:rsidR="008727AA">
        <w:t>submitted</w:t>
      </w:r>
      <w:r>
        <w:t xml:space="preserve"> </w:t>
      </w:r>
      <w:r w:rsidR="008727AA">
        <w:t xml:space="preserve">that address </w:t>
      </w:r>
      <w:r>
        <w:t>the case when the timing difference in carrier aggregation and/or dual connectivity exceeds the maximal uplink transmission timing difference (MTTD) due to gradual timing adjustment or due to a reception of a TA command</w:t>
      </w:r>
      <w:r w:rsidR="00CC5678">
        <w:t xml:space="preserve"> </w:t>
      </w:r>
      <w:r w:rsidR="00CC5678">
        <w:fldChar w:fldCharType="begin"/>
      </w:r>
      <w:r w:rsidR="00CC5678">
        <w:instrText xml:space="preserve"> REF _Ref196903362 \r \h </w:instrText>
      </w:r>
      <w:r w:rsidR="00CC5678">
        <w:fldChar w:fldCharType="separate"/>
      </w:r>
      <w:r w:rsidR="00CC5678">
        <w:t>[1]</w:t>
      </w:r>
      <w:r w:rsidR="00CC5678">
        <w:fldChar w:fldCharType="end"/>
      </w:r>
      <w:r w:rsidR="00CC5678">
        <w:t xml:space="preserve">, </w:t>
      </w:r>
      <w:r w:rsidR="00CC5678">
        <w:fldChar w:fldCharType="begin"/>
      </w:r>
      <w:r w:rsidR="00CC5678">
        <w:instrText xml:space="preserve"> REF _Ref196903365 \r \h </w:instrText>
      </w:r>
      <w:r w:rsidR="00CC5678">
        <w:fldChar w:fldCharType="separate"/>
      </w:r>
      <w:r w:rsidR="00CC5678">
        <w:t>[2]</w:t>
      </w:r>
      <w:r w:rsidR="00CC5678">
        <w:fldChar w:fldCharType="end"/>
      </w:r>
      <w:r w:rsidR="00CC5678">
        <w:t xml:space="preserve">, </w:t>
      </w:r>
      <w:r w:rsidR="00CC5678">
        <w:fldChar w:fldCharType="begin"/>
      </w:r>
      <w:r w:rsidR="00CC5678">
        <w:instrText xml:space="preserve"> REF _Ref196903367 \r \h </w:instrText>
      </w:r>
      <w:r w:rsidR="00CC5678">
        <w:fldChar w:fldCharType="separate"/>
      </w:r>
      <w:r w:rsidR="00CC5678">
        <w:t>[3]</w:t>
      </w:r>
      <w:r w:rsidR="00CC5678">
        <w:fldChar w:fldCharType="end"/>
      </w:r>
      <w:r w:rsidR="00CC5678">
        <w:t xml:space="preserve">, </w:t>
      </w:r>
      <w:r w:rsidR="00CC5678">
        <w:fldChar w:fldCharType="begin"/>
      </w:r>
      <w:r w:rsidR="00CC5678">
        <w:instrText xml:space="preserve"> REF _Ref196903369 \r \h </w:instrText>
      </w:r>
      <w:r w:rsidR="00CC5678">
        <w:fldChar w:fldCharType="separate"/>
      </w:r>
      <w:r w:rsidR="00CC5678">
        <w:t>[4]</w:t>
      </w:r>
      <w:r w:rsidR="00CC5678">
        <w:fldChar w:fldCharType="end"/>
      </w:r>
      <w:r w:rsidR="00CC5678">
        <w:t xml:space="preserve">, </w:t>
      </w:r>
      <w:r w:rsidR="00CC5678">
        <w:fldChar w:fldCharType="begin"/>
      </w:r>
      <w:r w:rsidR="00CC5678">
        <w:instrText xml:space="preserve"> REF _Ref196903371 \r \h </w:instrText>
      </w:r>
      <w:r w:rsidR="00CC5678">
        <w:fldChar w:fldCharType="separate"/>
      </w:r>
      <w:r w:rsidR="00CC5678">
        <w:t>[5]</w:t>
      </w:r>
      <w:r w:rsidR="00CC5678">
        <w:fldChar w:fldCharType="end"/>
      </w:r>
      <w:r>
        <w:t>.</w:t>
      </w:r>
    </w:p>
    <w:p w14:paraId="3704D56D" w14:textId="3AF639DB" w:rsidR="00F60547" w:rsidRDefault="00CC5678" w:rsidP="00355E2B">
      <w:r>
        <w:t>While all proposals address the same lack of specification clarity in TS 38.133, they differ partially in the solution to the problem as well as in the release they are proposed for.</w:t>
      </w:r>
    </w:p>
    <w:p w14:paraId="5B3D4D7A" w14:textId="67D4D56B" w:rsidR="00CC5678" w:rsidRPr="00355E2B" w:rsidRDefault="00CC5678" w:rsidP="00355E2B">
      <w:r>
        <w:t>In this paper we share our view on the problem.</w:t>
      </w:r>
    </w:p>
    <w:p w14:paraId="693166EF" w14:textId="21016A5C" w:rsidR="00CB7240" w:rsidRDefault="00F51EAC" w:rsidP="00263166">
      <w:pPr>
        <w:pStyle w:val="Heading1"/>
        <w:rPr>
          <w:lang w:val="en-US"/>
        </w:rPr>
      </w:pPr>
      <w:r w:rsidRPr="00B56FFA">
        <w:rPr>
          <w:lang w:val="en-US"/>
        </w:rPr>
        <w:t xml:space="preserve">Discussion </w:t>
      </w:r>
    </w:p>
    <w:p w14:paraId="18CB255A" w14:textId="77777777" w:rsidR="008727AA" w:rsidRDefault="008727AA" w:rsidP="008727AA">
      <w:pPr>
        <w:snapToGrid w:val="0"/>
      </w:pPr>
      <w:bookmarkStart w:id="2" w:name="_Ref92297796"/>
      <w:r>
        <w:t xml:space="preserve">In TS 38.133 the UE behavior is not clearly specified for carrier aggregation and/or dual connectivity when due to gradual timing adjustment and/or timing advance command the timing difference exceeds the MTTD while in LTE the behavior is more precisely specified. </w:t>
      </w:r>
      <w:r w:rsidR="00CC5678">
        <w:t xml:space="preserve">In RAN4 #114 several discussion papers and CRs </w:t>
      </w:r>
      <w:r>
        <w:t>were submitted</w:t>
      </w:r>
      <w:r w:rsidR="00CC5678">
        <w:t xml:space="preserve"> </w:t>
      </w:r>
      <w:r>
        <w:t xml:space="preserve">to address the issue </w:t>
      </w:r>
      <w:r>
        <w:fldChar w:fldCharType="begin"/>
      </w:r>
      <w:r>
        <w:instrText xml:space="preserve"> REF _Ref196903362 \r \h  \* MERGEFORMAT </w:instrText>
      </w:r>
      <w:r>
        <w:fldChar w:fldCharType="separate"/>
      </w:r>
      <w:r>
        <w:t>[1]</w:t>
      </w:r>
      <w:r>
        <w:fldChar w:fldCharType="end"/>
      </w:r>
      <w:r>
        <w:t xml:space="preserve">, </w:t>
      </w:r>
      <w:r>
        <w:fldChar w:fldCharType="begin"/>
      </w:r>
      <w:r>
        <w:instrText xml:space="preserve"> REF _Ref196903365 \r \h  \* MERGEFORMAT </w:instrText>
      </w:r>
      <w:r>
        <w:fldChar w:fldCharType="separate"/>
      </w:r>
      <w:r>
        <w:t>[2]</w:t>
      </w:r>
      <w:r>
        <w:fldChar w:fldCharType="end"/>
      </w:r>
      <w:r>
        <w:t xml:space="preserve">, </w:t>
      </w:r>
      <w:r>
        <w:fldChar w:fldCharType="begin"/>
      </w:r>
      <w:r>
        <w:instrText xml:space="preserve"> REF _Ref196903367 \r \h  \* MERGEFORMAT </w:instrText>
      </w:r>
      <w:r>
        <w:fldChar w:fldCharType="separate"/>
      </w:r>
      <w:r>
        <w:t>[3]</w:t>
      </w:r>
      <w:r>
        <w:fldChar w:fldCharType="end"/>
      </w:r>
      <w:r>
        <w:t xml:space="preserve">, </w:t>
      </w:r>
      <w:r>
        <w:fldChar w:fldCharType="begin"/>
      </w:r>
      <w:r>
        <w:instrText xml:space="preserve"> REF _Ref196903369 \r \h  \* MERGEFORMAT </w:instrText>
      </w:r>
      <w:r>
        <w:fldChar w:fldCharType="separate"/>
      </w:r>
      <w:r>
        <w:t>[4]</w:t>
      </w:r>
      <w:r>
        <w:fldChar w:fldCharType="end"/>
      </w:r>
      <w:r>
        <w:t xml:space="preserve">, </w:t>
      </w:r>
      <w:r>
        <w:fldChar w:fldCharType="begin"/>
      </w:r>
      <w:r>
        <w:instrText xml:space="preserve"> REF _Ref196903371 \r \h  \* MERGEFORMAT </w:instrText>
      </w:r>
      <w:r>
        <w:fldChar w:fldCharType="separate"/>
      </w:r>
      <w:r>
        <w:t>[5]</w:t>
      </w:r>
      <w:r>
        <w:fldChar w:fldCharType="end"/>
      </w:r>
      <w:r w:rsidR="00CC5678">
        <w:t>.</w:t>
      </w:r>
      <w:r>
        <w:t xml:space="preserve"> </w:t>
      </w:r>
    </w:p>
    <w:p w14:paraId="6258CD7F" w14:textId="77777777" w:rsidR="00F10A48" w:rsidRDefault="008727AA" w:rsidP="008727AA">
      <w:pPr>
        <w:snapToGrid w:val="0"/>
      </w:pPr>
      <w:r>
        <w:t>The contributions by Apple follow the LTE specification, i.e., in case that MTTD is exceeded by a TA, the UL transmission on SCell is stopped while in case that MTTD is exceeded by gradual timing adjustment, the UL timing adjustment is capped, and the UE continues the SCell transmission</w:t>
      </w:r>
      <w:r w:rsidR="00F10A48">
        <w:t>. However, t</w:t>
      </w:r>
      <w:r>
        <w:t>he contributions by Eri</w:t>
      </w:r>
      <w:r w:rsidR="00F10A48">
        <w:t>cs</w:t>
      </w:r>
      <w:r>
        <w:t>son</w:t>
      </w:r>
      <w:r w:rsidR="00F10A48">
        <w:t xml:space="preserve"> and Nokia seem to favor that UL transmission is stopped in both cases. </w:t>
      </w:r>
    </w:p>
    <w:p w14:paraId="602625E5" w14:textId="7EA8BCC4" w:rsidR="00F10A48" w:rsidRDefault="00F10A48" w:rsidP="008727AA">
      <w:pPr>
        <w:snapToGrid w:val="0"/>
      </w:pPr>
      <w:r>
        <w:t xml:space="preserve">It seems there is agreement in all proposals that UL transmission on SCell is stopped in case MTTD is exceeded by a TA command. However, in case that MTTD is exceeded by gradual timing adjustment, the proposals by Apple on the one side and Ericsson and Nokia on the other side seem to differ. In our view both proposals, </w:t>
      </w:r>
      <w:r w:rsidR="00BD76DD">
        <w:t xml:space="preserve">a) capping the gradual timing adjustment and </w:t>
      </w:r>
      <w:r w:rsidR="007F3082">
        <w:t>continuing</w:t>
      </w:r>
      <w:r w:rsidR="00BD76DD">
        <w:t xml:space="preserve"> UL transmission on SCell and b) stopping the UL transmission on SCell</w:t>
      </w:r>
      <w:r>
        <w:t>, should work technically. In the first case, probably the network will figure out the timing error on the uplink of the SCell and trigger a PDCCH order RACH. In the second case, the uplink on the SCell may be dropped and set up again by the network.</w:t>
      </w:r>
    </w:p>
    <w:p w14:paraId="6BA5DCE2" w14:textId="27078A27" w:rsidR="008727AA" w:rsidRDefault="00F10A48" w:rsidP="008727AA">
      <w:pPr>
        <w:snapToGrid w:val="0"/>
      </w:pPr>
      <w:r w:rsidRPr="00F10A48">
        <w:rPr>
          <w:b/>
          <w:bCs/>
        </w:rPr>
        <w:t>Observation</w:t>
      </w:r>
      <w:r w:rsidR="008C3FB0">
        <w:rPr>
          <w:b/>
          <w:bCs/>
        </w:rPr>
        <w:t xml:space="preserve"> 1</w:t>
      </w:r>
      <w:r w:rsidRPr="00F10A48">
        <w:rPr>
          <w:b/>
          <w:bCs/>
        </w:rPr>
        <w:t>:</w:t>
      </w:r>
      <w:r>
        <w:t xml:space="preserve"> There is agreement in all proposals that UL transmission on SCell is stopped in case MTTD is exceeded by a TA command.  </w:t>
      </w:r>
      <w:r w:rsidR="008727AA">
        <w:t xml:space="preserve">     </w:t>
      </w:r>
      <w:r w:rsidR="00CC5678">
        <w:t xml:space="preserve"> </w:t>
      </w:r>
    </w:p>
    <w:p w14:paraId="63BC332A" w14:textId="60062572" w:rsidR="00F10A48" w:rsidRDefault="00F10A48" w:rsidP="008727AA">
      <w:pPr>
        <w:snapToGrid w:val="0"/>
      </w:pPr>
      <w:r w:rsidRPr="00A61ED5">
        <w:rPr>
          <w:b/>
          <w:bCs/>
        </w:rPr>
        <w:t>Observation</w:t>
      </w:r>
      <w:r w:rsidR="008C3FB0">
        <w:rPr>
          <w:b/>
          <w:bCs/>
        </w:rPr>
        <w:t xml:space="preserve"> 2</w:t>
      </w:r>
      <w:r w:rsidRPr="00A61ED5">
        <w:rPr>
          <w:b/>
          <w:bCs/>
        </w:rPr>
        <w:t>:</w:t>
      </w:r>
      <w:r>
        <w:t xml:space="preserve"> </w:t>
      </w:r>
      <w:r w:rsidR="00A61ED5">
        <w:t>However, in case that MTTD is exceeded by gradual timing adjustment, the proposals by Apple on the one side and Ericsson and Nokia on the other side seem to differ.</w:t>
      </w:r>
    </w:p>
    <w:p w14:paraId="2A9DE804" w14:textId="786C21CA" w:rsidR="00397816" w:rsidRDefault="00397816" w:rsidP="008727AA">
      <w:pPr>
        <w:snapToGrid w:val="0"/>
      </w:pPr>
      <w:r w:rsidRPr="00397816">
        <w:rPr>
          <w:b/>
          <w:bCs/>
        </w:rPr>
        <w:t>Observation</w:t>
      </w:r>
      <w:r w:rsidR="008C3FB0">
        <w:rPr>
          <w:b/>
          <w:bCs/>
        </w:rPr>
        <w:t xml:space="preserve"> 3</w:t>
      </w:r>
      <w:r w:rsidRPr="00397816">
        <w:rPr>
          <w:b/>
          <w:bCs/>
        </w:rPr>
        <w:t>:</w:t>
      </w:r>
      <w:r>
        <w:t xml:space="preserve"> Both proposals, i.e., </w:t>
      </w:r>
      <w:r w:rsidR="00BD76DD">
        <w:t xml:space="preserve">a) </w:t>
      </w:r>
      <w:r>
        <w:t xml:space="preserve">capping the gradual timing adjustment </w:t>
      </w:r>
      <w:r w:rsidR="00BD76DD">
        <w:t xml:space="preserve">and </w:t>
      </w:r>
      <w:r w:rsidR="007F3082">
        <w:t>continuing</w:t>
      </w:r>
      <w:r w:rsidR="00BD76DD">
        <w:t xml:space="preserve"> UL transmission on SCell </w:t>
      </w:r>
      <w:r>
        <w:t xml:space="preserve">and </w:t>
      </w:r>
      <w:r w:rsidR="00BD76DD">
        <w:t xml:space="preserve">b) </w:t>
      </w:r>
      <w:r>
        <w:t>stopping the UL transmission</w:t>
      </w:r>
      <w:r w:rsidR="00BD76DD">
        <w:t xml:space="preserve"> on SCell</w:t>
      </w:r>
      <w:r>
        <w:t>, should work technically.</w:t>
      </w:r>
    </w:p>
    <w:p w14:paraId="75FBF5C4" w14:textId="6D91716B" w:rsidR="00A61ED5" w:rsidRDefault="00A61ED5" w:rsidP="008727AA">
      <w:pPr>
        <w:snapToGrid w:val="0"/>
      </w:pPr>
      <w:r>
        <w:t>Another difference in the proposals is in which release the problem should be addressed. Nokia proposes a clarification in the specification of Rel-15, Apple in Rel-16 and Ericsson in Rel-18. We agree that this uncertainty in the specification exists since Rel-15, however the existing implementations in the UE have addressed the issue and the network handled the corresponding uplink issue on SCell as well. That means there does not seem to be a need to address the uncertainty in the specification in an earlier release.</w:t>
      </w:r>
    </w:p>
    <w:p w14:paraId="799C53B7" w14:textId="255BDF36" w:rsidR="00A61ED5" w:rsidRDefault="00A61ED5" w:rsidP="008727AA">
      <w:pPr>
        <w:snapToGrid w:val="0"/>
      </w:pPr>
      <w:r w:rsidRPr="00A61ED5">
        <w:rPr>
          <w:b/>
          <w:bCs/>
        </w:rPr>
        <w:t>Observation</w:t>
      </w:r>
      <w:r w:rsidR="008C3FB0">
        <w:rPr>
          <w:b/>
          <w:bCs/>
        </w:rPr>
        <w:t xml:space="preserve"> 4</w:t>
      </w:r>
      <w:r w:rsidRPr="00A61ED5">
        <w:rPr>
          <w:b/>
          <w:bCs/>
        </w:rPr>
        <w:t>:</w:t>
      </w:r>
      <w:r>
        <w:t xml:space="preserve"> The proposals differ in which release the problem should be addressed, i.e., Rel-15, Rel-16 and Rel-18.</w:t>
      </w:r>
    </w:p>
    <w:p w14:paraId="51773408" w14:textId="16FD2169" w:rsidR="00A61ED5" w:rsidRDefault="00A61ED5" w:rsidP="008727AA">
      <w:pPr>
        <w:snapToGrid w:val="0"/>
      </w:pPr>
      <w:r w:rsidRPr="00A61ED5">
        <w:rPr>
          <w:b/>
          <w:bCs/>
        </w:rPr>
        <w:t>Observation</w:t>
      </w:r>
      <w:r w:rsidR="008C3FB0">
        <w:rPr>
          <w:b/>
          <w:bCs/>
        </w:rPr>
        <w:t xml:space="preserve"> 5</w:t>
      </w:r>
      <w:r w:rsidRPr="00A61ED5">
        <w:rPr>
          <w:b/>
          <w:bCs/>
        </w:rPr>
        <w:t>:</w:t>
      </w:r>
      <w:r>
        <w:t xml:space="preserve"> Since existing implementations have handled the lack in specification, there does not seem to be a need for clarification in Rel-18 or earlier. </w:t>
      </w:r>
    </w:p>
    <w:p w14:paraId="308F54F0" w14:textId="45AB755F" w:rsidR="00397816" w:rsidRDefault="00397816" w:rsidP="008727AA">
      <w:pPr>
        <w:snapToGrid w:val="0"/>
      </w:pPr>
      <w:r>
        <w:lastRenderedPageBreak/>
        <w:t>Since we believe that both proposals for gradual timing adjustment, i.e., capping UL timing adjustment and stopping UL transmission on SCell, can handle the lack in specification, we are open for clarification in Rel-19 if there is agreement that the issue should be addressed.</w:t>
      </w:r>
    </w:p>
    <w:p w14:paraId="1D084CB8" w14:textId="3DEE94D1" w:rsidR="00397816" w:rsidRPr="008727AA" w:rsidRDefault="00397816" w:rsidP="008727AA">
      <w:pPr>
        <w:snapToGrid w:val="0"/>
      </w:pPr>
      <w:r w:rsidRPr="00397816">
        <w:rPr>
          <w:b/>
          <w:bCs/>
        </w:rPr>
        <w:t>Proposal</w:t>
      </w:r>
      <w:r w:rsidR="008C3FB0">
        <w:rPr>
          <w:b/>
          <w:bCs/>
        </w:rPr>
        <w:t xml:space="preserve"> 1</w:t>
      </w:r>
      <w:r w:rsidRPr="00397816">
        <w:rPr>
          <w:b/>
          <w:bCs/>
        </w:rPr>
        <w:t>:</w:t>
      </w:r>
      <w:r>
        <w:t xml:space="preserve"> The lack in specification, if at all, should be addressed in Rel-19. </w:t>
      </w:r>
    </w:p>
    <w:bookmarkEnd w:id="2"/>
    <w:p w14:paraId="3A84A802" w14:textId="5FCDD2CC" w:rsidR="00F40F7A" w:rsidRDefault="00374C61" w:rsidP="00EE3B1E">
      <w:pPr>
        <w:pStyle w:val="Heading1"/>
        <w:rPr>
          <w:lang w:val="en-US"/>
        </w:rPr>
      </w:pPr>
      <w:r w:rsidRPr="00B56FFA">
        <w:rPr>
          <w:lang w:val="en-US"/>
        </w:rPr>
        <w:t>Conclusions</w:t>
      </w:r>
    </w:p>
    <w:p w14:paraId="6C6FA39A" w14:textId="718E925D" w:rsidR="00ED6B28" w:rsidRDefault="00335CEF" w:rsidP="00981374">
      <w:r>
        <w:rPr>
          <w:lang w:eastAsia="zh-CN"/>
        </w:rPr>
        <w:t>In this paper we provided our views on several of the open issues identified in RAN4 #114bis. Our observations and proposals are summarized as follows:</w:t>
      </w:r>
      <w:r>
        <w:t xml:space="preserve">  </w:t>
      </w:r>
    </w:p>
    <w:p w14:paraId="5E22C361" w14:textId="37C3A8A9" w:rsidR="00A61ED5" w:rsidRDefault="00A61ED5" w:rsidP="00A61ED5">
      <w:pPr>
        <w:snapToGrid w:val="0"/>
      </w:pPr>
      <w:r w:rsidRPr="00F10A48">
        <w:rPr>
          <w:b/>
          <w:bCs/>
        </w:rPr>
        <w:t>Observation</w:t>
      </w:r>
      <w:r w:rsidR="008C3FB0">
        <w:rPr>
          <w:b/>
          <w:bCs/>
        </w:rPr>
        <w:t xml:space="preserve"> 1</w:t>
      </w:r>
      <w:r w:rsidRPr="00F10A48">
        <w:rPr>
          <w:b/>
          <w:bCs/>
        </w:rPr>
        <w:t>:</w:t>
      </w:r>
      <w:r>
        <w:t xml:space="preserve"> There is agreement in all proposals that UL transmission on SCell is stopped in case MTTD is exceeded by a TA command.        </w:t>
      </w:r>
    </w:p>
    <w:p w14:paraId="5970F98F" w14:textId="361272ED" w:rsidR="00A61ED5" w:rsidRDefault="00A61ED5" w:rsidP="00A61ED5">
      <w:pPr>
        <w:snapToGrid w:val="0"/>
      </w:pPr>
      <w:r w:rsidRPr="00A61ED5">
        <w:rPr>
          <w:b/>
          <w:bCs/>
        </w:rPr>
        <w:t>Observation</w:t>
      </w:r>
      <w:r w:rsidR="008C3FB0">
        <w:rPr>
          <w:b/>
          <w:bCs/>
        </w:rPr>
        <w:t xml:space="preserve"> 2</w:t>
      </w:r>
      <w:r w:rsidRPr="00A61ED5">
        <w:rPr>
          <w:b/>
          <w:bCs/>
        </w:rPr>
        <w:t>:</w:t>
      </w:r>
      <w:r>
        <w:t xml:space="preserve"> However, in case that MTTD is exceeded by gradual timing adjustment, the proposals by Apple on the one side and Ericsson and Nokia on the other side seem to differ.</w:t>
      </w:r>
    </w:p>
    <w:p w14:paraId="5ABC8903" w14:textId="77777777" w:rsidR="007F3082" w:rsidRDefault="007F3082" w:rsidP="007F3082">
      <w:pPr>
        <w:snapToGrid w:val="0"/>
      </w:pPr>
      <w:r w:rsidRPr="00397816">
        <w:rPr>
          <w:b/>
          <w:bCs/>
        </w:rPr>
        <w:t>Observation</w:t>
      </w:r>
      <w:r>
        <w:rPr>
          <w:b/>
          <w:bCs/>
        </w:rPr>
        <w:t xml:space="preserve"> 3</w:t>
      </w:r>
      <w:r w:rsidRPr="00397816">
        <w:rPr>
          <w:b/>
          <w:bCs/>
        </w:rPr>
        <w:t>:</w:t>
      </w:r>
      <w:r>
        <w:t xml:space="preserve"> Both proposals, i.e., a) capping the gradual timing adjustment and continuing UL transmission on SCell and b) stopping the UL transmission on SCell, should work technically.</w:t>
      </w:r>
    </w:p>
    <w:p w14:paraId="4C0008D9" w14:textId="77777777" w:rsidR="008C3FB0" w:rsidRDefault="008C3FB0" w:rsidP="008C3FB0">
      <w:pPr>
        <w:snapToGrid w:val="0"/>
      </w:pPr>
      <w:r w:rsidRPr="00A61ED5">
        <w:rPr>
          <w:b/>
          <w:bCs/>
        </w:rPr>
        <w:t>Observation</w:t>
      </w:r>
      <w:r>
        <w:rPr>
          <w:b/>
          <w:bCs/>
        </w:rPr>
        <w:t xml:space="preserve"> 4</w:t>
      </w:r>
      <w:r w:rsidRPr="00A61ED5">
        <w:rPr>
          <w:b/>
          <w:bCs/>
        </w:rPr>
        <w:t>:</w:t>
      </w:r>
      <w:r>
        <w:t xml:space="preserve"> The proposals differ in which release the problem should be addressed, i.e., Rel-15, Rel-16 and Rel-18.</w:t>
      </w:r>
    </w:p>
    <w:p w14:paraId="3860397C" w14:textId="77777777" w:rsidR="008C3FB0" w:rsidRDefault="008C3FB0" w:rsidP="008C3FB0">
      <w:pPr>
        <w:snapToGrid w:val="0"/>
      </w:pPr>
      <w:r w:rsidRPr="00A61ED5">
        <w:rPr>
          <w:b/>
          <w:bCs/>
        </w:rPr>
        <w:t>Observation</w:t>
      </w:r>
      <w:r>
        <w:rPr>
          <w:b/>
          <w:bCs/>
        </w:rPr>
        <w:t xml:space="preserve"> 5</w:t>
      </w:r>
      <w:r w:rsidRPr="00A61ED5">
        <w:rPr>
          <w:b/>
          <w:bCs/>
        </w:rPr>
        <w:t>:</w:t>
      </w:r>
      <w:r>
        <w:t xml:space="preserve"> Since existing implementations have handled the lack in specification, there does not seem to be a need for clarification in Rel-18 or earlier. </w:t>
      </w:r>
    </w:p>
    <w:p w14:paraId="2416A9D5" w14:textId="00174106" w:rsidR="00397816" w:rsidRPr="000F3CAB" w:rsidRDefault="00397816" w:rsidP="00A61ED5">
      <w:pPr>
        <w:snapToGrid w:val="0"/>
      </w:pPr>
      <w:r w:rsidRPr="00397816">
        <w:rPr>
          <w:b/>
          <w:bCs/>
        </w:rPr>
        <w:t>Proposal</w:t>
      </w:r>
      <w:r w:rsidR="004B225E">
        <w:rPr>
          <w:b/>
          <w:bCs/>
        </w:rPr>
        <w:t xml:space="preserve"> 1</w:t>
      </w:r>
      <w:r w:rsidRPr="00397816">
        <w:rPr>
          <w:b/>
          <w:bCs/>
        </w:rPr>
        <w:t>:</w:t>
      </w:r>
      <w:r>
        <w:t xml:space="preserve"> The lack in specification, if at all, should be addressed in Rel-19.</w:t>
      </w:r>
    </w:p>
    <w:p w14:paraId="7662BBF9" w14:textId="77777777" w:rsidR="002E4881" w:rsidRDefault="002E4881" w:rsidP="00C1077F">
      <w:pPr>
        <w:pStyle w:val="Heading1"/>
        <w:rPr>
          <w:lang w:val="en-US"/>
        </w:rPr>
      </w:pPr>
      <w:r w:rsidRPr="00B56FFA">
        <w:rPr>
          <w:lang w:val="en-US"/>
        </w:rPr>
        <w:t>References</w:t>
      </w:r>
    </w:p>
    <w:p w14:paraId="56BDF08F" w14:textId="66BCDA40" w:rsidR="00501D76" w:rsidRDefault="00732D02" w:rsidP="004D2B24">
      <w:pPr>
        <w:pStyle w:val="ListParagraph"/>
        <w:numPr>
          <w:ilvl w:val="0"/>
          <w:numId w:val="17"/>
        </w:numPr>
      </w:pPr>
      <w:bookmarkStart w:id="3" w:name="_Ref193093429"/>
      <w:bookmarkStart w:id="4" w:name="_Ref196903362"/>
      <w:bookmarkEnd w:id="3"/>
      <w:r>
        <w:t>R4-2500252, (NR_RRM_enh-Core) On gradual timing adjustment and MTTD for CA and DC, Apple, RAN4 #114, February 2025</w:t>
      </w:r>
      <w:bookmarkEnd w:id="4"/>
    </w:p>
    <w:p w14:paraId="45891441" w14:textId="33E3C499" w:rsidR="00116155" w:rsidRDefault="00116155" w:rsidP="004D2B24">
      <w:pPr>
        <w:pStyle w:val="ListParagraph"/>
        <w:numPr>
          <w:ilvl w:val="0"/>
          <w:numId w:val="17"/>
        </w:numPr>
      </w:pPr>
      <w:bookmarkStart w:id="5" w:name="_Ref196903365"/>
      <w:r w:rsidRPr="006E56AE">
        <w:rPr>
          <w:rFonts w:eastAsia="SimSun" w:cs="SimSun"/>
          <w:lang w:eastAsia="zh-CN"/>
        </w:rPr>
        <w:t>R4-250025</w:t>
      </w:r>
      <w:r>
        <w:rPr>
          <w:rFonts w:eastAsia="SimSun" w:cs="SimSun"/>
          <w:lang w:eastAsia="zh-CN"/>
        </w:rPr>
        <w:t>4</w:t>
      </w:r>
      <w:r w:rsidRPr="00414863">
        <w:rPr>
          <w:rFonts w:eastAsia="SimSun" w:cs="SimSun"/>
          <w:lang w:eastAsia="zh-CN"/>
        </w:rPr>
        <w:t>, “</w:t>
      </w:r>
      <w:r w:rsidRPr="0036143D">
        <w:rPr>
          <w:rFonts w:eastAsia="SimSun" w:cs="SimSun"/>
          <w:lang w:eastAsia="zh-CN"/>
        </w:rPr>
        <w:t xml:space="preserve">(NR_RRM_Enh-Core) </w:t>
      </w:r>
      <w:r w:rsidRPr="00414863">
        <w:rPr>
          <w:rFonts w:eastAsia="SimSun" w:cs="SimSun"/>
          <w:lang w:eastAsia="zh-CN"/>
        </w:rPr>
        <w:t>CR to 38.133 for gradual timing adjustment and MTTD-R1</w:t>
      </w:r>
      <w:r>
        <w:rPr>
          <w:rFonts w:eastAsia="SimSun" w:cs="SimSun"/>
          <w:lang w:eastAsia="zh-CN"/>
        </w:rPr>
        <w:t>6</w:t>
      </w:r>
      <w:r w:rsidRPr="00414863">
        <w:rPr>
          <w:rFonts w:eastAsia="SimSun" w:cs="SimSun"/>
          <w:lang w:eastAsia="zh-CN"/>
        </w:rPr>
        <w:t>”, Apple</w:t>
      </w:r>
      <w:r>
        <w:rPr>
          <w:rFonts w:eastAsia="SimSun" w:cs="SimSun"/>
          <w:lang w:eastAsia="zh-CN"/>
        </w:rPr>
        <w:t xml:space="preserve">, </w:t>
      </w:r>
      <w:r>
        <w:t>RAN4 #114, February 2025</w:t>
      </w:r>
      <w:bookmarkEnd w:id="5"/>
    </w:p>
    <w:p w14:paraId="2C7029E6" w14:textId="4F454316" w:rsidR="00015CE9" w:rsidRDefault="00015CE9" w:rsidP="004D2B24">
      <w:pPr>
        <w:pStyle w:val="ListParagraph"/>
        <w:numPr>
          <w:ilvl w:val="0"/>
          <w:numId w:val="17"/>
        </w:numPr>
      </w:pPr>
      <w:bookmarkStart w:id="6" w:name="_Ref196903367"/>
      <w:r>
        <w:t>R4-2501887, (NR_newRAT-Core) CR clarifying the UE UL transmit timing requirements, Nokia, RAN4 #114, February 2025</w:t>
      </w:r>
      <w:bookmarkEnd w:id="6"/>
    </w:p>
    <w:p w14:paraId="27D6617D" w14:textId="356504F3" w:rsidR="00465747" w:rsidRDefault="00465747" w:rsidP="004D2B24">
      <w:pPr>
        <w:pStyle w:val="ListParagraph"/>
        <w:numPr>
          <w:ilvl w:val="0"/>
          <w:numId w:val="17"/>
        </w:numPr>
      </w:pPr>
      <w:bookmarkStart w:id="7" w:name="_Ref196903369"/>
      <w:r>
        <w:t>R4-250161</w:t>
      </w:r>
      <w:r w:rsidR="00F60547">
        <w:t>4</w:t>
      </w:r>
      <w:r>
        <w:t>, (NR_newRAT-Core) On gradual timing adjustment for CA and DC, Ericsson, RAN4 #114, February 2025</w:t>
      </w:r>
      <w:bookmarkEnd w:id="7"/>
    </w:p>
    <w:p w14:paraId="496CDBE5" w14:textId="704BB7E0" w:rsidR="00F60547" w:rsidRPr="005526F0" w:rsidRDefault="00F60547" w:rsidP="004D2B24">
      <w:pPr>
        <w:pStyle w:val="ListParagraph"/>
        <w:numPr>
          <w:ilvl w:val="0"/>
          <w:numId w:val="17"/>
        </w:numPr>
      </w:pPr>
      <w:bookmarkStart w:id="8" w:name="_Ref196903371"/>
      <w:r>
        <w:t>R4-2501615, (NR_newRAT-Core) SCell transmission based on MTTD, Ericsson, RAN4 #114, February 2025</w:t>
      </w:r>
      <w:bookmarkEnd w:id="8"/>
    </w:p>
    <w:sectPr w:rsidR="00F60547"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6"/>
  </w:num>
  <w:num w:numId="2" w16cid:durableId="870923146">
    <w:abstractNumId w:val="2"/>
  </w:num>
  <w:num w:numId="3" w16cid:durableId="785389733">
    <w:abstractNumId w:val="9"/>
  </w:num>
  <w:num w:numId="4" w16cid:durableId="1072851090">
    <w:abstractNumId w:val="18"/>
  </w:num>
  <w:num w:numId="5" w16cid:durableId="1338845787">
    <w:abstractNumId w:val="21"/>
  </w:num>
  <w:num w:numId="6" w16cid:durableId="1366056817">
    <w:abstractNumId w:val="22"/>
  </w:num>
  <w:num w:numId="7" w16cid:durableId="662781214">
    <w:abstractNumId w:val="20"/>
  </w:num>
  <w:num w:numId="8" w16cid:durableId="1611009480">
    <w:abstractNumId w:val="16"/>
  </w:num>
  <w:num w:numId="9" w16cid:durableId="1541281856">
    <w:abstractNumId w:val="3"/>
  </w:num>
  <w:num w:numId="10" w16cid:durableId="1194541630">
    <w:abstractNumId w:val="24"/>
  </w:num>
  <w:num w:numId="11" w16cid:durableId="339699112">
    <w:abstractNumId w:val="10"/>
  </w:num>
  <w:num w:numId="12" w16cid:durableId="465270902">
    <w:abstractNumId w:val="5"/>
  </w:num>
  <w:num w:numId="13" w16cid:durableId="2145779748">
    <w:abstractNumId w:val="4"/>
  </w:num>
  <w:num w:numId="14" w16cid:durableId="2130970816">
    <w:abstractNumId w:val="13"/>
  </w:num>
  <w:num w:numId="15" w16cid:durableId="1296370644">
    <w:abstractNumId w:val="19"/>
  </w:num>
  <w:num w:numId="16" w16cid:durableId="1658412998">
    <w:abstractNumId w:val="17"/>
  </w:num>
  <w:num w:numId="17" w16cid:durableId="1588730628">
    <w:abstractNumId w:val="7"/>
  </w:num>
  <w:num w:numId="18" w16cid:durableId="78404807">
    <w:abstractNumId w:val="1"/>
  </w:num>
  <w:num w:numId="19" w16cid:durableId="824274728">
    <w:abstractNumId w:val="8"/>
  </w:num>
  <w:num w:numId="20" w16cid:durableId="1147088077">
    <w:abstractNumId w:val="11"/>
  </w:num>
  <w:num w:numId="21" w16cid:durableId="1230576148">
    <w:abstractNumId w:val="14"/>
  </w:num>
  <w:num w:numId="22" w16cid:durableId="1764572239">
    <w:abstractNumId w:val="15"/>
  </w:num>
  <w:num w:numId="23" w16cid:durableId="1316839752">
    <w:abstractNumId w:val="12"/>
  </w:num>
  <w:num w:numId="24" w16cid:durableId="15226320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9"/>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7"/>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155"/>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317"/>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A37"/>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16"/>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747"/>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25E"/>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1A8"/>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D02"/>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C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082"/>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AA"/>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3FB0"/>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02"/>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C1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ED5"/>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DD"/>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2F1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678"/>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7A0"/>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0E"/>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0A48"/>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547"/>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e51413fb-b6f8-4f29-abc2-eb20455e809e"/>
    <ds:schemaRef ds:uri="http://schemas.microsoft.com/office/infopath/2007/PartnerControls"/>
    <ds:schemaRef ds:uri="a7036771-d2e9-4e8a-9ef7-3a342200a42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96EC77B-FE4A-4E53-8402-F5051B91E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1170</TotalTime>
  <Pages>2</Pages>
  <Words>905</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345</cp:revision>
  <cp:lastPrinted>2020-02-14T19:36:00Z</cp:lastPrinted>
  <dcterms:created xsi:type="dcterms:W3CDTF">2024-07-31T10:54:00Z</dcterms:created>
  <dcterms:modified xsi:type="dcterms:W3CDTF">2025-05-08T13:58:00Z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